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DADF7" w14:textId="6DB36051" w:rsidR="00FF7092" w:rsidRDefault="009869D0" w:rsidP="009869D0">
      <w:pPr>
        <w:pStyle w:val="Ttulo1"/>
        <w:rPr>
          <w:lang w:val="es-ES"/>
        </w:rPr>
      </w:pPr>
      <w:r>
        <w:rPr>
          <w:noProof/>
        </w:rPr>
        <mc:AlternateContent>
          <mc:Choice Requires="wps">
            <w:drawing>
              <wp:anchor distT="0" distB="0" distL="114300" distR="114300" simplePos="0" relativeHeight="251659264" behindDoc="0" locked="0" layoutInCell="1" allowOverlap="1" wp14:anchorId="56689A97" wp14:editId="07D3FFE0">
                <wp:simplePos x="0" y="0"/>
                <wp:positionH relativeFrom="column">
                  <wp:posOffset>-2540</wp:posOffset>
                </wp:positionH>
                <wp:positionV relativeFrom="paragraph">
                  <wp:posOffset>819785</wp:posOffset>
                </wp:positionV>
                <wp:extent cx="5829300" cy="1360170"/>
                <wp:effectExtent l="0" t="0" r="0" b="0"/>
                <wp:wrapSquare wrapText="bothSides"/>
                <wp:docPr id="1" name="Cuadro de texto 1"/>
                <wp:cNvGraphicFramePr/>
                <a:graphic xmlns:a="http://schemas.openxmlformats.org/drawingml/2006/main">
                  <a:graphicData uri="http://schemas.microsoft.com/office/word/2010/wordprocessingShape">
                    <wps:wsp>
                      <wps:cNvSpPr txBox="1"/>
                      <wps:spPr>
                        <a:xfrm>
                          <a:off x="0" y="0"/>
                          <a:ext cx="5829300" cy="1360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71099C2" w14:textId="4C9E5AB1" w:rsidR="00EC6A5F" w:rsidRPr="00EC6A5F" w:rsidRDefault="00526E12" w:rsidP="007272E4">
                            <w:pPr>
                              <w:pBdr>
                                <w:top w:val="single" w:sz="4" w:space="1" w:color="auto"/>
                                <w:left w:val="single" w:sz="4" w:space="4" w:color="auto"/>
                                <w:bottom w:val="single" w:sz="4" w:space="1" w:color="auto"/>
                                <w:right w:val="single" w:sz="4" w:space="4" w:color="auto"/>
                              </w:pBdr>
                              <w:rPr>
                                <w:lang w:val="es-ES"/>
                              </w:rPr>
                            </w:pPr>
                            <w:r>
                              <w:rPr>
                                <w:lang w:val="es-ES"/>
                              </w:rPr>
                              <w:t xml:space="preserve">El artículo 689-3 del ET, agregado con el </w:t>
                            </w:r>
                            <w:r w:rsidR="00664D6A">
                              <w:rPr>
                                <w:lang w:val="es-ES"/>
                              </w:rPr>
                              <w:t>artículo 51 de la Ley 2155 de septiembre de 2021</w:t>
                            </w:r>
                            <w:r w:rsidR="00903D0E">
                              <w:rPr>
                                <w:lang w:val="es-ES"/>
                              </w:rPr>
                              <w:t xml:space="preserve"> y afectado con el artículo 69 de la Ley 2294 de mayo de 2023</w:t>
                            </w:r>
                            <w:r w:rsidR="00664D6A">
                              <w:rPr>
                                <w:lang w:val="es-ES"/>
                              </w:rPr>
                              <w:t xml:space="preserve">, </w:t>
                            </w:r>
                            <w:r w:rsidR="00EC6A5F">
                              <w:rPr>
                                <w:lang w:val="es-ES"/>
                              </w:rPr>
                              <w:t>contempla que la declaració</w:t>
                            </w:r>
                            <w:r w:rsidR="00664D6A">
                              <w:rPr>
                                <w:lang w:val="es-ES"/>
                              </w:rPr>
                              <w:t>n de renta del año gravable 202</w:t>
                            </w:r>
                            <w:r w:rsidR="00CE6550">
                              <w:rPr>
                                <w:lang w:val="es-ES"/>
                              </w:rPr>
                              <w:t>5</w:t>
                            </w:r>
                            <w:r w:rsidR="00EC6A5F">
                              <w:rPr>
                                <w:lang w:val="es-ES"/>
                              </w:rPr>
                              <w:t xml:space="preserve"> también podrá obtener el beneficio de auditoría si se cumplen </w:t>
                            </w:r>
                            <w:r w:rsidR="002744C8">
                              <w:rPr>
                                <w:lang w:val="es-ES"/>
                              </w:rPr>
                              <w:t>7</w:t>
                            </w:r>
                            <w:r w:rsidR="00EC6A5F">
                              <w:rPr>
                                <w:lang w:val="es-ES"/>
                              </w:rPr>
                              <w:t xml:space="preserve"> requisitos especiales. </w:t>
                            </w:r>
                            <w:r w:rsidR="00903D0E">
                              <w:rPr>
                                <w:lang w:val="es-ES"/>
                              </w:rPr>
                              <w:t>Si la DIAN mantiene la</w:t>
                            </w:r>
                            <w:r w:rsidR="002E21FF">
                              <w:rPr>
                                <w:lang w:val="es-ES"/>
                              </w:rPr>
                              <w:t xml:space="preserve"> equivocada ubicación del renglón para liquidar la sobretasa al impuesto de renta en el formulario 110</w:t>
                            </w:r>
                            <w:r w:rsidR="00903D0E">
                              <w:rPr>
                                <w:lang w:val="es-ES"/>
                              </w:rPr>
                              <w:t>, dicha partida influirá</w:t>
                            </w:r>
                            <w:r w:rsidR="009239EF">
                              <w:rPr>
                                <w:lang w:val="es-ES"/>
                              </w:rPr>
                              <w:t xml:space="preserve"> </w:t>
                            </w:r>
                            <w:r w:rsidR="00A20E08">
                              <w:rPr>
                                <w:lang w:val="es-ES"/>
                              </w:rPr>
                              <w:t>notablemente en la consecución de este beneficio</w:t>
                            </w:r>
                            <w:r w:rsidR="00BE4F86">
                              <w:rPr>
                                <w:lang w:val="es-E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689A97" id="_x0000_t202" coordsize="21600,21600" o:spt="202" path="m,l,21600r21600,l21600,xe">
                <v:stroke joinstyle="miter"/>
                <v:path gradientshapeok="t" o:connecttype="rect"/>
              </v:shapetype>
              <v:shape id="Cuadro de texto 1" o:spid="_x0000_s1026" type="#_x0000_t202" style="position:absolute;margin-left:-.2pt;margin-top:64.55pt;width:459pt;height:107.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" filled="f" stroked="f">
                <v:textbox>
                  <w:txbxContent>
                    <w:p w14:paraId="571099C2" w14:textId="4C9E5AB1" w:rsidR="00EC6A5F" w:rsidRPr="00EC6A5F" w:rsidRDefault="00526E12" w:rsidP="007272E4">
                      <w:pPr>
                        <w:pBdr>
                          <w:top w:val="single" w:sz="4" w:space="1" w:color="auto"/>
                          <w:left w:val="single" w:sz="4" w:space="4" w:color="auto"/>
                          <w:bottom w:val="single" w:sz="4" w:space="1" w:color="auto"/>
                          <w:right w:val="single" w:sz="4" w:space="4" w:color="auto"/>
                        </w:pBdr>
                        <w:rPr>
                          <w:lang w:val="es-ES"/>
                        </w:rPr>
                      </w:pPr>
                      <w:r>
                        <w:rPr>
                          <w:lang w:val="es-ES"/>
                        </w:rPr>
                        <w:t xml:space="preserve">El artículo 689-3 del ET, agregado con el </w:t>
                      </w:r>
                      <w:r w:rsidR="00664D6A">
                        <w:rPr>
                          <w:lang w:val="es-ES"/>
                        </w:rPr>
                        <w:t>artículo 51 de la Ley 2155 de septiembre de 2021</w:t>
                      </w:r>
                      <w:r w:rsidR="00903D0E">
                        <w:rPr>
                          <w:lang w:val="es-ES"/>
                        </w:rPr>
                        <w:t xml:space="preserve"> y afectado con el artículo 69 de la Ley 2294 de mayo de 2023</w:t>
                      </w:r>
                      <w:r w:rsidR="00664D6A">
                        <w:rPr>
                          <w:lang w:val="es-ES"/>
                        </w:rPr>
                        <w:t xml:space="preserve">, </w:t>
                      </w:r>
                      <w:r w:rsidR="00EC6A5F">
                        <w:rPr>
                          <w:lang w:val="es-ES"/>
                        </w:rPr>
                        <w:t>contempla que la declaració</w:t>
                      </w:r>
                      <w:r w:rsidR="00664D6A">
                        <w:rPr>
                          <w:lang w:val="es-ES"/>
                        </w:rPr>
                        <w:t>n de renta del año gravable 202</w:t>
                      </w:r>
                      <w:r w:rsidR="00CE6550">
                        <w:rPr>
                          <w:lang w:val="es-ES"/>
                        </w:rPr>
                        <w:t>5</w:t>
                      </w:r>
                      <w:r w:rsidR="00EC6A5F">
                        <w:rPr>
                          <w:lang w:val="es-ES"/>
                        </w:rPr>
                        <w:t xml:space="preserve"> también podrá obtener el beneficio de auditoría si se cumplen </w:t>
                      </w:r>
                      <w:r w:rsidR="002744C8">
                        <w:rPr>
                          <w:lang w:val="es-ES"/>
                        </w:rPr>
                        <w:t>7</w:t>
                      </w:r>
                      <w:r w:rsidR="00EC6A5F">
                        <w:rPr>
                          <w:lang w:val="es-ES"/>
                        </w:rPr>
                        <w:t xml:space="preserve"> requisitos especiales. </w:t>
                      </w:r>
                      <w:r w:rsidR="00903D0E">
                        <w:rPr>
                          <w:lang w:val="es-ES"/>
                        </w:rPr>
                        <w:t>Si la DIAN mantiene la</w:t>
                      </w:r>
                      <w:r w:rsidR="002E21FF">
                        <w:rPr>
                          <w:lang w:val="es-ES"/>
                        </w:rPr>
                        <w:t xml:space="preserve"> equivocada ubicación del renglón para liquidar la sobretasa al impuesto de renta en el formulario 110</w:t>
                      </w:r>
                      <w:r w:rsidR="00903D0E">
                        <w:rPr>
                          <w:lang w:val="es-ES"/>
                        </w:rPr>
                        <w:t>, dicha partida influirá</w:t>
                      </w:r>
                      <w:r w:rsidR="009239EF">
                        <w:rPr>
                          <w:lang w:val="es-ES"/>
                        </w:rPr>
                        <w:t xml:space="preserve"> </w:t>
                      </w:r>
                      <w:r w:rsidR="00A20E08">
                        <w:rPr>
                          <w:lang w:val="es-ES"/>
                        </w:rPr>
                        <w:t>notablemente en la consecución de este beneficio</w:t>
                      </w:r>
                      <w:r w:rsidR="00BE4F86">
                        <w:rPr>
                          <w:lang w:val="es-ES"/>
                        </w:rPr>
                        <w:t>.</w:t>
                      </w:r>
                    </w:p>
                  </w:txbxContent>
                </v:textbox>
                <w10:wrap type="square"/>
              </v:shape>
            </w:pict>
          </mc:Fallback>
        </mc:AlternateContent>
      </w:r>
      <w:r w:rsidR="00A45EEB">
        <w:rPr>
          <w:lang w:val="es-ES"/>
        </w:rPr>
        <w:t>Beneficio de auditoría para</w:t>
      </w:r>
      <w:r w:rsidR="0018559E">
        <w:rPr>
          <w:lang w:val="es-ES"/>
        </w:rPr>
        <w:t xml:space="preserve"> </w:t>
      </w:r>
      <w:r w:rsidR="0020111D">
        <w:rPr>
          <w:lang w:val="es-ES"/>
        </w:rPr>
        <w:t xml:space="preserve">la fracción o </w:t>
      </w:r>
      <w:r w:rsidR="0018559E">
        <w:rPr>
          <w:lang w:val="es-ES"/>
        </w:rPr>
        <w:t>el cierre del año gravable 202</w:t>
      </w:r>
      <w:r w:rsidR="00CE6550">
        <w:rPr>
          <w:lang w:val="es-ES"/>
        </w:rPr>
        <w:t>5</w:t>
      </w:r>
    </w:p>
    <w:p w14:paraId="1B9CF2C0" w14:textId="7AB15618" w:rsidR="00EC6A5F" w:rsidRDefault="00EC6A5F">
      <w:pPr>
        <w:rPr>
          <w:lang w:val="es-ES"/>
        </w:rPr>
      </w:pPr>
    </w:p>
    <w:p w14:paraId="09C03B2A" w14:textId="37E5D237" w:rsidR="00664D6A" w:rsidRDefault="00000000">
      <w:pPr>
        <w:rPr>
          <w:lang w:val="es-ES"/>
        </w:rPr>
      </w:pPr>
      <w:hyperlink r:id="rId5" w:anchor="689-3" w:history="1">
        <w:r w:rsidR="00664D6A" w:rsidRPr="00664D6A">
          <w:rPr>
            <w:rStyle w:val="Hipervnculo"/>
            <w:lang w:val="es-ES"/>
          </w:rPr>
          <w:t>La norma del artículo 689-3 del ET, creada con el artículo 51 de la Ley 2155 de septiembre 14 de 2021</w:t>
        </w:r>
      </w:hyperlink>
      <w:r w:rsidR="00664D6A">
        <w:rPr>
          <w:lang w:val="es-ES"/>
        </w:rPr>
        <w:t xml:space="preserve"> </w:t>
      </w:r>
      <w:r w:rsidR="00903D0E">
        <w:rPr>
          <w:lang w:val="es-ES"/>
        </w:rPr>
        <w:t xml:space="preserve">y cuya vigencia </w:t>
      </w:r>
      <w:hyperlink r:id="rId6" w:history="1">
        <w:r w:rsidR="00903D0E" w:rsidRPr="00903D0E">
          <w:rPr>
            <w:rStyle w:val="Hipervnculo"/>
            <w:lang w:val="es-ES"/>
          </w:rPr>
          <w:t>fue ampliada con el artículo 69 de la ley 2294 de mayo de 2023</w:t>
        </w:r>
      </w:hyperlink>
      <w:r w:rsidR="00903D0E">
        <w:rPr>
          <w:lang w:val="es-ES"/>
        </w:rPr>
        <w:t xml:space="preserve">, </w:t>
      </w:r>
      <w:r w:rsidR="00664D6A">
        <w:rPr>
          <w:lang w:val="es-ES"/>
        </w:rPr>
        <w:t>contempla los requisitos que se exigirán para que varios contribuyentes del impuesto de renta (ya sean personas naturales, o sucesiones ilíquidas, residentes o no residentes, o personas jurídicas, del régimen ordinario o del especial) puedan obtener en su declaración de renta de los años gravable</w:t>
      </w:r>
      <w:r w:rsidR="00903D0E">
        <w:rPr>
          <w:lang w:val="es-ES"/>
        </w:rPr>
        <w:t>s</w:t>
      </w:r>
      <w:r w:rsidR="00664D6A">
        <w:rPr>
          <w:lang w:val="es-ES"/>
        </w:rPr>
        <w:t xml:space="preserve"> 2022 </w:t>
      </w:r>
      <w:r w:rsidR="00903D0E">
        <w:rPr>
          <w:lang w:val="es-ES"/>
        </w:rPr>
        <w:t>a 2026</w:t>
      </w:r>
      <w:r w:rsidR="00664D6A">
        <w:rPr>
          <w:lang w:val="es-ES"/>
        </w:rPr>
        <w:t xml:space="preserve"> el beneficio de auditoría de forma que la misma quede en firme en solo 6 o 12 meses siguientes a su presentación oportuna</w:t>
      </w:r>
      <w:r w:rsidR="005C4DF0">
        <w:rPr>
          <w:lang w:val="es-ES"/>
        </w:rPr>
        <w:t>.</w:t>
      </w:r>
    </w:p>
    <w:p w14:paraId="5C7FA89D" w14:textId="77777777" w:rsidR="00664D6A" w:rsidRDefault="00664D6A">
      <w:pPr>
        <w:rPr>
          <w:lang w:val="es-ES"/>
        </w:rPr>
      </w:pPr>
    </w:p>
    <w:p w14:paraId="03256F08" w14:textId="4BD80A1A" w:rsidR="00A43506" w:rsidRDefault="00664D6A">
      <w:pPr>
        <w:rPr>
          <w:lang w:val="es-ES"/>
        </w:rPr>
      </w:pPr>
      <w:r>
        <w:rPr>
          <w:lang w:val="es-ES"/>
        </w:rPr>
        <w:t>Por tanto, para</w:t>
      </w:r>
      <w:r w:rsidR="00A43506">
        <w:rPr>
          <w:lang w:val="es-ES"/>
        </w:rPr>
        <w:t xml:space="preserve"> lograr</w:t>
      </w:r>
      <w:r w:rsidR="00770854">
        <w:rPr>
          <w:lang w:val="es-ES"/>
        </w:rPr>
        <w:t xml:space="preserve"> el mencionado </w:t>
      </w:r>
      <w:r w:rsidR="00BB0FD2">
        <w:rPr>
          <w:lang w:val="es-ES"/>
        </w:rPr>
        <w:t>beneficio</w:t>
      </w:r>
      <w:r>
        <w:rPr>
          <w:lang w:val="es-ES"/>
        </w:rPr>
        <w:t xml:space="preserve"> de auditoría en la declaración de</w:t>
      </w:r>
      <w:r w:rsidR="00DC4F7E">
        <w:rPr>
          <w:lang w:val="es-ES"/>
        </w:rPr>
        <w:t xml:space="preserve"> renta del</w:t>
      </w:r>
      <w:r>
        <w:rPr>
          <w:lang w:val="es-ES"/>
        </w:rPr>
        <w:t xml:space="preserve"> año gravable 202</w:t>
      </w:r>
      <w:r w:rsidR="005C4DF0">
        <w:rPr>
          <w:lang w:val="es-ES"/>
        </w:rPr>
        <w:t>5</w:t>
      </w:r>
      <w:r w:rsidR="0020111D">
        <w:rPr>
          <w:lang w:val="es-ES"/>
        </w:rPr>
        <w:t xml:space="preserve"> (ya sea que se presente por una “fracción de año gravable 2025” en el caso de los que se liquiden durante el actual año gravable 2025, o que se presente por el “año gravable 2025” en el caso de los que no se liquiden durante el 2025)</w:t>
      </w:r>
      <w:r w:rsidR="00BB0FD2">
        <w:rPr>
          <w:lang w:val="es-ES"/>
        </w:rPr>
        <w:t xml:space="preserve">, se hará necesario que la persona jurídica, o persona natural, </w:t>
      </w:r>
      <w:r w:rsidR="002968AA">
        <w:rPr>
          <w:lang w:val="es-ES"/>
        </w:rPr>
        <w:t xml:space="preserve">o </w:t>
      </w:r>
      <w:r w:rsidR="00BB0FD2">
        <w:rPr>
          <w:lang w:val="es-ES"/>
        </w:rPr>
        <w:t>sucesión ilíquida cumpla con la totalidad de los siguientes requisitos:</w:t>
      </w:r>
    </w:p>
    <w:p w14:paraId="276FE1C5" w14:textId="77777777" w:rsidR="00BB0FD2" w:rsidRDefault="00BB0FD2">
      <w:pPr>
        <w:rPr>
          <w:lang w:val="es-ES"/>
        </w:rPr>
      </w:pPr>
    </w:p>
    <w:p w14:paraId="1258FABB" w14:textId="01341E4A" w:rsidR="00BB0FD2" w:rsidRDefault="00820BC9" w:rsidP="00BB0FD2">
      <w:pPr>
        <w:pStyle w:val="Prrafodelista"/>
        <w:numPr>
          <w:ilvl w:val="0"/>
          <w:numId w:val="1"/>
        </w:numPr>
        <w:rPr>
          <w:lang w:val="es-ES"/>
        </w:rPr>
      </w:pPr>
      <w:r>
        <w:rPr>
          <w:lang w:val="es-ES"/>
        </w:rPr>
        <w:t>Durante el año, o a</w:t>
      </w:r>
      <w:r w:rsidR="006637CF">
        <w:rPr>
          <w:lang w:val="es-ES"/>
        </w:rPr>
        <w:t>l cierre</w:t>
      </w:r>
      <w:r>
        <w:rPr>
          <w:lang w:val="es-ES"/>
        </w:rPr>
        <w:t>,</w:t>
      </w:r>
      <w:r w:rsidR="006637CF">
        <w:rPr>
          <w:lang w:val="es-ES"/>
        </w:rPr>
        <w:t xml:space="preserve"> del año gravable 202</w:t>
      </w:r>
      <w:r w:rsidR="005C4DF0">
        <w:rPr>
          <w:lang w:val="es-ES"/>
        </w:rPr>
        <w:t>5</w:t>
      </w:r>
      <w:r w:rsidR="004E0A02">
        <w:rPr>
          <w:lang w:val="es-ES"/>
        </w:rPr>
        <w:t xml:space="preserve"> </w:t>
      </w:r>
      <w:r>
        <w:rPr>
          <w:lang w:val="es-ES"/>
        </w:rPr>
        <w:t xml:space="preserve">el contribuyente </w:t>
      </w:r>
      <w:r w:rsidR="004E0A02">
        <w:rPr>
          <w:lang w:val="es-ES"/>
        </w:rPr>
        <w:t xml:space="preserve">no puede figurar entre quienes disfrutan de otros beneficios tributarios en el impuesto de renta por causa de su ubicación geográfica (esto aplicaría </w:t>
      </w:r>
      <w:r w:rsidR="00BC4A5E">
        <w:rPr>
          <w:lang w:val="es-ES"/>
        </w:rPr>
        <w:t xml:space="preserve">por ejemplo </w:t>
      </w:r>
      <w:r w:rsidR="004E0A02">
        <w:rPr>
          <w:lang w:val="es-ES"/>
        </w:rPr>
        <w:t>a quienes se acogen</w:t>
      </w:r>
      <w:r w:rsidR="004F6236">
        <w:rPr>
          <w:lang w:val="es-ES"/>
        </w:rPr>
        <w:t xml:space="preserve"> </w:t>
      </w:r>
      <w:r w:rsidR="004E0A02">
        <w:rPr>
          <w:lang w:val="es-ES"/>
        </w:rPr>
        <w:t xml:space="preserve">a los beneficios de las Zonas Francas, </w:t>
      </w:r>
      <w:hyperlink r:id="rId7" w:history="1">
        <w:r w:rsidR="004E0A02" w:rsidRPr="004F6236">
          <w:rPr>
            <w:rStyle w:val="Hipervnculo"/>
            <w:lang w:val="es-ES"/>
          </w:rPr>
          <w:t>o las ZOMAC, o</w:t>
        </w:r>
        <w:r w:rsidR="004E0A02" w:rsidRPr="004F6236">
          <w:rPr>
            <w:rStyle w:val="Hipervnculo"/>
            <w:lang w:val="es-ES"/>
          </w:rPr>
          <w:t xml:space="preserve"> </w:t>
        </w:r>
        <w:r w:rsidR="004E0A02" w:rsidRPr="004F6236">
          <w:rPr>
            <w:rStyle w:val="Hipervnculo"/>
            <w:lang w:val="es-ES"/>
          </w:rPr>
          <w:t>las ZESE</w:t>
        </w:r>
      </w:hyperlink>
      <w:r w:rsidR="004E0A02">
        <w:rPr>
          <w:lang w:val="es-ES"/>
        </w:rPr>
        <w:t>)</w:t>
      </w:r>
      <w:r w:rsidR="004F6236">
        <w:rPr>
          <w:lang w:val="es-ES"/>
        </w:rPr>
        <w:t>.</w:t>
      </w:r>
    </w:p>
    <w:p w14:paraId="2D5774C6" w14:textId="77777777" w:rsidR="004F6236" w:rsidRDefault="004F6236" w:rsidP="004F6236">
      <w:pPr>
        <w:pStyle w:val="Prrafodelista"/>
        <w:rPr>
          <w:lang w:val="es-ES"/>
        </w:rPr>
      </w:pPr>
    </w:p>
    <w:p w14:paraId="3548DB9B" w14:textId="4FB9DD09" w:rsidR="00532423" w:rsidRDefault="00532423" w:rsidP="00532423">
      <w:pPr>
        <w:pStyle w:val="Prrafodelista"/>
        <w:numPr>
          <w:ilvl w:val="0"/>
          <w:numId w:val="1"/>
        </w:numPr>
        <w:rPr>
          <w:lang w:val="es-ES"/>
        </w:rPr>
      </w:pPr>
      <w:r>
        <w:rPr>
          <w:lang w:val="es-ES"/>
        </w:rPr>
        <w:t>Debe haber cumplido con presentar (oportuna o extemporáneamente) una declaración del año inmediatamente anterior (en e</w:t>
      </w:r>
      <w:r w:rsidR="00073EC4">
        <w:rPr>
          <w:lang w:val="es-ES"/>
        </w:rPr>
        <w:t>ste caso la del</w:t>
      </w:r>
      <w:r w:rsidR="001E056A">
        <w:rPr>
          <w:lang w:val="es-ES"/>
        </w:rPr>
        <w:t xml:space="preserve"> año gravable</w:t>
      </w:r>
      <w:r w:rsidR="00BC4A5E">
        <w:rPr>
          <w:lang w:val="es-ES"/>
        </w:rPr>
        <w:t xml:space="preserve"> </w:t>
      </w:r>
      <w:r w:rsidR="001E056A">
        <w:rPr>
          <w:lang w:val="es-ES"/>
        </w:rPr>
        <w:t>202</w:t>
      </w:r>
      <w:r w:rsidR="005C4DF0">
        <w:rPr>
          <w:lang w:val="es-ES"/>
        </w:rPr>
        <w:t>4</w:t>
      </w:r>
      <w:r>
        <w:rPr>
          <w:lang w:val="es-ES"/>
        </w:rPr>
        <w:t xml:space="preserve">, sin importar si se declaró en el formulario 110 o 210) en la cual se haya liquido un “impuesto neto de renta” (Ver </w:t>
      </w:r>
      <w:hyperlink r:id="rId8" w:history="1">
        <w:r w:rsidR="00AE32FD">
          <w:rPr>
            <w:rStyle w:val="Hipervnculo"/>
            <w:lang w:val="es-ES"/>
          </w:rPr>
          <w:t>renglón 9</w:t>
        </w:r>
        <w:r w:rsidR="00BC4A5E">
          <w:rPr>
            <w:rStyle w:val="Hipervnculo"/>
            <w:lang w:val="es-ES"/>
          </w:rPr>
          <w:t>6</w:t>
        </w:r>
        <w:r w:rsidRPr="00B52D33">
          <w:rPr>
            <w:rStyle w:val="Hipervnculo"/>
            <w:lang w:val="es-ES"/>
          </w:rPr>
          <w:t xml:space="preserve"> del </w:t>
        </w:r>
        <w:r w:rsidRPr="00B52D33">
          <w:rPr>
            <w:rStyle w:val="Hipervnculo"/>
            <w:lang w:val="es-ES"/>
          </w:rPr>
          <w:t>f</w:t>
        </w:r>
        <w:r w:rsidRPr="00B52D33">
          <w:rPr>
            <w:rStyle w:val="Hipervnculo"/>
            <w:lang w:val="es-ES"/>
          </w:rPr>
          <w:t>ormulario 110 de dicho año</w:t>
        </w:r>
      </w:hyperlink>
      <w:r>
        <w:rPr>
          <w:lang w:val="es-ES"/>
        </w:rPr>
        <w:t xml:space="preserve">, o el </w:t>
      </w:r>
      <w:hyperlink r:id="rId9" w:history="1">
        <w:r w:rsidR="00AA2198">
          <w:rPr>
            <w:rStyle w:val="Hipervnculo"/>
            <w:lang w:val="es-ES"/>
          </w:rPr>
          <w:t>renglón 12</w:t>
        </w:r>
        <w:r w:rsidR="00DC4F7E">
          <w:rPr>
            <w:rStyle w:val="Hipervnculo"/>
            <w:lang w:val="es-ES"/>
          </w:rPr>
          <w:t>6</w:t>
        </w:r>
        <w:r w:rsidRPr="00B52D33">
          <w:rPr>
            <w:rStyle w:val="Hipervnculo"/>
            <w:lang w:val="es-ES"/>
          </w:rPr>
          <w:t xml:space="preserve"> del formulario 210 de d</w:t>
        </w:r>
        <w:r w:rsidRPr="00B52D33">
          <w:rPr>
            <w:rStyle w:val="Hipervnculo"/>
            <w:lang w:val="es-ES"/>
          </w:rPr>
          <w:t>i</w:t>
        </w:r>
        <w:r w:rsidRPr="00B52D33">
          <w:rPr>
            <w:rStyle w:val="Hipervnculo"/>
            <w:lang w:val="es-ES"/>
          </w:rPr>
          <w:t>cho año</w:t>
        </w:r>
      </w:hyperlink>
      <w:r>
        <w:rPr>
          <w:lang w:val="es-ES"/>
        </w:rPr>
        <w:t>) igual o superior</w:t>
      </w:r>
      <w:r w:rsidRPr="00AB25E8">
        <w:rPr>
          <w:lang w:val="es-ES"/>
        </w:rPr>
        <w:t xml:space="preserve"> mínimo 71 UVT</w:t>
      </w:r>
      <w:r w:rsidR="001E056A">
        <w:rPr>
          <w:lang w:val="es-ES"/>
        </w:rPr>
        <w:t xml:space="preserve"> (71 x $</w:t>
      </w:r>
      <w:r w:rsidR="008E12B4">
        <w:rPr>
          <w:lang w:val="es-ES"/>
        </w:rPr>
        <w:t>4</w:t>
      </w:r>
      <w:r w:rsidR="00DC4F7E">
        <w:rPr>
          <w:lang w:val="es-ES"/>
        </w:rPr>
        <w:t>7</w:t>
      </w:r>
      <w:r w:rsidR="008E12B4">
        <w:rPr>
          <w:lang w:val="es-ES"/>
        </w:rPr>
        <w:t>.</w:t>
      </w:r>
      <w:r w:rsidR="00DC4F7E">
        <w:rPr>
          <w:lang w:val="es-ES"/>
        </w:rPr>
        <w:t>065</w:t>
      </w:r>
      <w:r w:rsidR="001E056A">
        <w:rPr>
          <w:lang w:val="es-ES"/>
        </w:rPr>
        <w:t>=$</w:t>
      </w:r>
      <w:r w:rsidR="008E12B4">
        <w:rPr>
          <w:lang w:val="es-ES"/>
        </w:rPr>
        <w:t>3</w:t>
      </w:r>
      <w:r w:rsidR="001E056A">
        <w:rPr>
          <w:lang w:val="es-ES"/>
        </w:rPr>
        <w:t>.</w:t>
      </w:r>
      <w:r w:rsidR="00DC4F7E">
        <w:rPr>
          <w:lang w:val="es-ES"/>
        </w:rPr>
        <w:t>341</w:t>
      </w:r>
      <w:r>
        <w:rPr>
          <w:lang w:val="es-ES"/>
        </w:rPr>
        <w:t>.000)</w:t>
      </w:r>
      <w:r w:rsidRPr="00AB25E8">
        <w:rPr>
          <w:lang w:val="es-ES"/>
        </w:rPr>
        <w:t>.</w:t>
      </w:r>
      <w:r>
        <w:rPr>
          <w:lang w:val="es-ES"/>
        </w:rPr>
        <w:t xml:space="preserve"> Por tanto, si alguien sí presentó dicha declaración del año g</w:t>
      </w:r>
      <w:r w:rsidR="001E056A">
        <w:rPr>
          <w:lang w:val="es-ES"/>
        </w:rPr>
        <w:t>ravable 202</w:t>
      </w:r>
      <w:r w:rsidR="00B6727C">
        <w:rPr>
          <w:lang w:val="es-ES"/>
        </w:rPr>
        <w:t>4</w:t>
      </w:r>
      <w:r>
        <w:rPr>
          <w:lang w:val="es-ES"/>
        </w:rPr>
        <w:t xml:space="preserve"> pero liquidando un impuesto neto de renta inferior a dicho monto, tendría que optar por corregirla para elevar el monto de dicha partida (ver artículo 588 del ET). Y si no estuvo obligado</w:t>
      </w:r>
      <w:r w:rsidR="00730963">
        <w:rPr>
          <w:lang w:val="es-ES"/>
        </w:rPr>
        <w:t xml:space="preserve"> a declarar el año gravable 20</w:t>
      </w:r>
      <w:r w:rsidR="001E056A">
        <w:rPr>
          <w:lang w:val="es-ES"/>
        </w:rPr>
        <w:t>2</w:t>
      </w:r>
      <w:r w:rsidR="00B6727C">
        <w:rPr>
          <w:lang w:val="es-ES"/>
        </w:rPr>
        <w:t>4</w:t>
      </w:r>
      <w:r>
        <w:rPr>
          <w:lang w:val="es-ES"/>
        </w:rPr>
        <w:t xml:space="preserve">, pero es una persona natural que podía hacerlo voluntariamente (ver artículo 6 del ET) </w:t>
      </w:r>
      <w:r>
        <w:rPr>
          <w:lang w:val="es-ES"/>
        </w:rPr>
        <w:lastRenderedPageBreak/>
        <w:t>entonces podría optar por presentarla extemporáneamente para cumplir con este requisito. La exigencia de una declaración previa del año anteri</w:t>
      </w:r>
      <w:r w:rsidR="00FC7195">
        <w:rPr>
          <w:lang w:val="es-ES"/>
        </w:rPr>
        <w:t>or (en este ca</w:t>
      </w:r>
      <w:r w:rsidR="001E056A">
        <w:rPr>
          <w:lang w:val="es-ES"/>
        </w:rPr>
        <w:t>so la del año 202</w:t>
      </w:r>
      <w:r w:rsidR="00B6727C">
        <w:rPr>
          <w:lang w:val="es-ES"/>
        </w:rPr>
        <w:t>4</w:t>
      </w:r>
      <w:r>
        <w:rPr>
          <w:lang w:val="es-ES"/>
        </w:rPr>
        <w:t xml:space="preserve">) implica que las personas jurídicas que </w:t>
      </w:r>
      <w:r w:rsidR="001E056A">
        <w:rPr>
          <w:lang w:val="es-ES"/>
        </w:rPr>
        <w:t>se constituyan durante el 202</w:t>
      </w:r>
      <w:r w:rsidR="00B6727C">
        <w:rPr>
          <w:lang w:val="es-ES"/>
        </w:rPr>
        <w:t>5</w:t>
      </w:r>
      <w:r>
        <w:rPr>
          <w:lang w:val="es-ES"/>
        </w:rPr>
        <w:t xml:space="preserve"> no pueden optar por el beneficio de</w:t>
      </w:r>
      <w:r w:rsidR="001E056A">
        <w:rPr>
          <w:lang w:val="es-ES"/>
        </w:rPr>
        <w:t xml:space="preserve"> auditoría del año gravable 202</w:t>
      </w:r>
      <w:r w:rsidR="00B6727C">
        <w:rPr>
          <w:lang w:val="es-ES"/>
        </w:rPr>
        <w:t>5</w:t>
      </w:r>
      <w:r>
        <w:rPr>
          <w:lang w:val="es-ES"/>
        </w:rPr>
        <w:t>. Y lo mismo aplicaría para aquellas personas jurídicas o n</w:t>
      </w:r>
      <w:r w:rsidR="001E056A">
        <w:rPr>
          <w:lang w:val="es-ES"/>
        </w:rPr>
        <w:t>aturales que durante el año 202</w:t>
      </w:r>
      <w:r w:rsidR="00B6727C">
        <w:rPr>
          <w:lang w:val="es-ES"/>
        </w:rPr>
        <w:t>4</w:t>
      </w:r>
      <w:r>
        <w:rPr>
          <w:lang w:val="es-ES"/>
        </w:rPr>
        <w:t xml:space="preserve"> pertenecieron al régimen simple</w:t>
      </w:r>
      <w:r w:rsidR="001E056A">
        <w:rPr>
          <w:lang w:val="es-ES"/>
        </w:rPr>
        <w:t xml:space="preserve"> pero que durante el 202</w:t>
      </w:r>
      <w:r w:rsidR="00B6727C">
        <w:rPr>
          <w:lang w:val="es-ES"/>
        </w:rPr>
        <w:t>5</w:t>
      </w:r>
      <w:r>
        <w:rPr>
          <w:lang w:val="es-ES"/>
        </w:rPr>
        <w:t xml:space="preserve"> regresaron (de forma obligatoria o voluntaria) al régimen ordinario el impuesto de renta.</w:t>
      </w:r>
    </w:p>
    <w:p w14:paraId="43C4AD30" w14:textId="77777777" w:rsidR="00532423" w:rsidRPr="00532423" w:rsidRDefault="00532423" w:rsidP="00532423">
      <w:pPr>
        <w:rPr>
          <w:lang w:val="es-ES"/>
        </w:rPr>
      </w:pPr>
    </w:p>
    <w:p w14:paraId="1D9BAAA8" w14:textId="1F5DB8B9" w:rsidR="00A34605" w:rsidRPr="00820BC9" w:rsidRDefault="00532423" w:rsidP="00820BC9">
      <w:pPr>
        <w:pStyle w:val="Prrafodelista"/>
        <w:numPr>
          <w:ilvl w:val="0"/>
          <w:numId w:val="1"/>
        </w:numPr>
        <w:rPr>
          <w:lang w:val="es-ES"/>
        </w:rPr>
      </w:pPr>
      <w:r>
        <w:rPr>
          <w:lang w:val="es-ES"/>
        </w:rPr>
        <w:t>El impuesto net</w:t>
      </w:r>
      <w:r w:rsidR="002F5EB3">
        <w:rPr>
          <w:lang w:val="es-ES"/>
        </w:rPr>
        <w:t>o de renta de</w:t>
      </w:r>
      <w:r w:rsidR="00820BC9">
        <w:rPr>
          <w:lang w:val="es-ES"/>
        </w:rPr>
        <w:t>l año</w:t>
      </w:r>
      <w:r w:rsidR="002F5EB3" w:rsidRPr="00820BC9">
        <w:rPr>
          <w:lang w:val="es-ES"/>
        </w:rPr>
        <w:t xml:space="preserve"> gravable 202</w:t>
      </w:r>
      <w:r w:rsidR="00B6727C" w:rsidRPr="00820BC9">
        <w:rPr>
          <w:lang w:val="es-ES"/>
        </w:rPr>
        <w:t>5</w:t>
      </w:r>
      <w:r w:rsidR="00D65C4F" w:rsidRPr="00820BC9">
        <w:rPr>
          <w:lang w:val="es-ES"/>
        </w:rPr>
        <w:t xml:space="preserve"> (</w:t>
      </w:r>
      <w:r w:rsidR="00820BC9">
        <w:rPr>
          <w:lang w:val="es-ES"/>
        </w:rPr>
        <w:t xml:space="preserve">o de su fracción), el cual </w:t>
      </w:r>
      <w:r w:rsidR="00D65C4F" w:rsidRPr="00820BC9">
        <w:rPr>
          <w:lang w:val="es-ES"/>
        </w:rPr>
        <w:t xml:space="preserve"> solo se obtendrá</w:t>
      </w:r>
      <w:r w:rsidR="00F015EC" w:rsidRPr="00820BC9">
        <w:rPr>
          <w:lang w:val="es-ES"/>
        </w:rPr>
        <w:t xml:space="preserve"> sobr</w:t>
      </w:r>
      <w:r w:rsidR="000F3DB6" w:rsidRPr="00820BC9">
        <w:rPr>
          <w:lang w:val="es-ES"/>
        </w:rPr>
        <w:t xml:space="preserve">e la renta ordinaria pues la renta presuntiva </w:t>
      </w:r>
      <w:r w:rsidR="006C7210" w:rsidRPr="00820BC9">
        <w:rPr>
          <w:lang w:val="es-ES"/>
        </w:rPr>
        <w:t>será de 0%; ver artículo 188 del ET</w:t>
      </w:r>
      <w:r w:rsidR="00820BC9">
        <w:rPr>
          <w:lang w:val="es-ES"/>
        </w:rPr>
        <w:t>,</w:t>
      </w:r>
      <w:r w:rsidRPr="00820BC9">
        <w:rPr>
          <w:lang w:val="es-ES"/>
        </w:rPr>
        <w:t xml:space="preserve"> debe superar al impuesto neto </w:t>
      </w:r>
      <w:r w:rsidR="00A34605" w:rsidRPr="00820BC9">
        <w:rPr>
          <w:lang w:val="es-ES"/>
        </w:rPr>
        <w:t>de renta del año gravable 202</w:t>
      </w:r>
      <w:r w:rsidR="00B6727C" w:rsidRPr="00820BC9">
        <w:rPr>
          <w:lang w:val="es-ES"/>
        </w:rPr>
        <w:t>4</w:t>
      </w:r>
      <w:r w:rsidR="00A34605" w:rsidRPr="00820BC9">
        <w:rPr>
          <w:lang w:val="es-ES"/>
        </w:rPr>
        <w:t xml:space="preserve"> en por lo menos un 25</w:t>
      </w:r>
      <w:r w:rsidRPr="00820BC9">
        <w:rPr>
          <w:lang w:val="es-ES"/>
        </w:rPr>
        <w:t xml:space="preserve">%. Si el incremento está entre </w:t>
      </w:r>
      <w:r w:rsidR="00A34605" w:rsidRPr="00820BC9">
        <w:rPr>
          <w:lang w:val="es-ES"/>
        </w:rPr>
        <w:t>un 25% y un 34</w:t>
      </w:r>
      <w:r w:rsidRPr="00820BC9">
        <w:rPr>
          <w:lang w:val="es-ES"/>
        </w:rPr>
        <w:t xml:space="preserve">%, la declaración </w:t>
      </w:r>
      <w:r w:rsidR="00A34605" w:rsidRPr="00820BC9">
        <w:rPr>
          <w:lang w:val="es-ES"/>
        </w:rPr>
        <w:t>del año gravable 202</w:t>
      </w:r>
      <w:r w:rsidR="00B6727C" w:rsidRPr="00820BC9">
        <w:rPr>
          <w:lang w:val="es-ES"/>
        </w:rPr>
        <w:t>5</w:t>
      </w:r>
      <w:r w:rsidR="006B41CC" w:rsidRPr="00820BC9">
        <w:rPr>
          <w:lang w:val="es-ES"/>
        </w:rPr>
        <w:t xml:space="preserve"> </w:t>
      </w:r>
      <w:r w:rsidRPr="00820BC9">
        <w:rPr>
          <w:lang w:val="es-ES"/>
        </w:rPr>
        <w:t>quedará en firme dentro de los 12 meses siguientes a su presentación.</w:t>
      </w:r>
      <w:r w:rsidR="00A34605" w:rsidRPr="00820BC9">
        <w:rPr>
          <w:lang w:val="es-ES"/>
        </w:rPr>
        <w:t xml:space="preserve"> Pero si el incremento es del 35</w:t>
      </w:r>
      <w:r w:rsidRPr="00820BC9">
        <w:rPr>
          <w:lang w:val="es-ES"/>
        </w:rPr>
        <w:t>% o más, en tal caso quedará en firme dentro de los 6 meses siguientes a su presentació</w:t>
      </w:r>
      <w:r w:rsidR="006F023E" w:rsidRPr="00820BC9">
        <w:rPr>
          <w:lang w:val="es-ES"/>
        </w:rPr>
        <w:t>n. Al respecto</w:t>
      </w:r>
      <w:hyperlink r:id="rId10" w:history="1">
        <w:r w:rsidR="006F023E" w:rsidRPr="00820BC9">
          <w:rPr>
            <w:rStyle w:val="Hipervnculo"/>
            <w:lang w:val="es-ES"/>
          </w:rPr>
          <w:t xml:space="preserve">, y tal como lo </w:t>
        </w:r>
        <w:r w:rsidR="00501578" w:rsidRPr="00820BC9">
          <w:rPr>
            <w:rStyle w:val="Hipervnculo"/>
            <w:lang w:val="es-ES"/>
          </w:rPr>
          <w:t>destacam</w:t>
        </w:r>
        <w:r w:rsidR="00501578" w:rsidRPr="00820BC9">
          <w:rPr>
            <w:rStyle w:val="Hipervnculo"/>
            <w:lang w:val="es-ES"/>
          </w:rPr>
          <w:t>o</w:t>
        </w:r>
        <w:r w:rsidR="00501578" w:rsidRPr="00820BC9">
          <w:rPr>
            <w:rStyle w:val="Hipervnculo"/>
            <w:lang w:val="es-ES"/>
          </w:rPr>
          <w:t>s</w:t>
        </w:r>
        <w:r w:rsidR="006F023E" w:rsidRPr="00820BC9">
          <w:rPr>
            <w:rStyle w:val="Hipervnculo"/>
            <w:lang w:val="es-ES"/>
          </w:rPr>
          <w:t xml:space="preserve"> en un editorial anterior</w:t>
        </w:r>
      </w:hyperlink>
      <w:r w:rsidR="006F023E" w:rsidRPr="00820BC9">
        <w:rPr>
          <w:lang w:val="es-ES"/>
        </w:rPr>
        <w:t xml:space="preserve">, creemos que </w:t>
      </w:r>
      <w:r w:rsidR="00501578" w:rsidRPr="00820BC9">
        <w:rPr>
          <w:lang w:val="es-ES"/>
        </w:rPr>
        <w:t xml:space="preserve">en el formulario 110 (utilizado por las personas jurídicas nacionales o extranjeras y también por las personas naturales no residentes) </w:t>
      </w:r>
      <w:hyperlink r:id="rId11" w:history="1">
        <w:r w:rsidR="00501578" w:rsidRPr="00820BC9">
          <w:rPr>
            <w:rStyle w:val="Hipervnculo"/>
            <w:lang w:val="es-ES"/>
          </w:rPr>
          <w:t xml:space="preserve">la equivocada ubicación que la DIAN le dio al renglón en </w:t>
        </w:r>
        <w:r w:rsidR="00501578" w:rsidRPr="00820BC9">
          <w:rPr>
            <w:rStyle w:val="Hipervnculo"/>
            <w:lang w:val="es-ES"/>
          </w:rPr>
          <w:t>e</w:t>
        </w:r>
        <w:r w:rsidR="00501578" w:rsidRPr="00820BC9">
          <w:rPr>
            <w:rStyle w:val="Hipervnculo"/>
            <w:lang w:val="es-ES"/>
          </w:rPr>
          <w:t>l cual se liquida la sobretasa al impuesto de reta a cargo de las personas jurídicas del régimen ordinario</w:t>
        </w:r>
      </w:hyperlink>
      <w:r w:rsidR="00501578" w:rsidRPr="00820BC9">
        <w:rPr>
          <w:lang w:val="es-ES"/>
        </w:rPr>
        <w:t xml:space="preserve"> (</w:t>
      </w:r>
      <w:hyperlink r:id="rId12" w:history="1">
        <w:r w:rsidR="00501578" w:rsidRPr="00820BC9">
          <w:rPr>
            <w:rStyle w:val="Hipervnculo"/>
            <w:lang w:val="es-ES"/>
          </w:rPr>
          <w:t>ver renglón 85 del f</w:t>
        </w:r>
        <w:r w:rsidR="00501578" w:rsidRPr="00820BC9">
          <w:rPr>
            <w:rStyle w:val="Hipervnculo"/>
            <w:lang w:val="es-ES"/>
          </w:rPr>
          <w:t>o</w:t>
        </w:r>
        <w:r w:rsidR="00501578" w:rsidRPr="00820BC9">
          <w:rPr>
            <w:rStyle w:val="Hipervnculo"/>
            <w:lang w:val="es-ES"/>
          </w:rPr>
          <w:t>rmulario 110</w:t>
        </w:r>
      </w:hyperlink>
      <w:r w:rsidR="00501578" w:rsidRPr="00820BC9">
        <w:rPr>
          <w:lang w:val="es-ES"/>
        </w:rPr>
        <w:t xml:space="preserve"> y los parágrafos 2 a 4 del artículo 240 del ET luego de ser modificado con el artículo 10 de la Ley 2277 de 2022) le facilita a muchas personas jurídicas el alcanzar los requisitos para obtener el mencionado beneficio de auditoría, lo cual se evitaría si dicho renglón se ubicara luego del renglón “impuesto neto de renta”.</w:t>
      </w:r>
    </w:p>
    <w:p w14:paraId="1BB7460D" w14:textId="77777777" w:rsidR="00A34605" w:rsidRPr="00A34605" w:rsidRDefault="00A34605" w:rsidP="00A34605">
      <w:pPr>
        <w:rPr>
          <w:lang w:val="es-ES"/>
        </w:rPr>
      </w:pPr>
    </w:p>
    <w:p w14:paraId="5805AF18" w14:textId="20E6F909" w:rsidR="00532423" w:rsidRDefault="00532423" w:rsidP="00532423">
      <w:pPr>
        <w:pStyle w:val="Prrafodelista"/>
        <w:numPr>
          <w:ilvl w:val="0"/>
          <w:numId w:val="1"/>
        </w:numPr>
        <w:rPr>
          <w:lang w:val="es-ES"/>
        </w:rPr>
      </w:pPr>
      <w:r>
        <w:rPr>
          <w:lang w:val="es-ES"/>
        </w:rPr>
        <w:t>Una vez que se cumplan los 6 o 12 meses</w:t>
      </w:r>
      <w:r w:rsidR="00A34605">
        <w:rPr>
          <w:lang w:val="es-ES"/>
        </w:rPr>
        <w:t xml:space="preserve"> antes mencionados</w:t>
      </w:r>
      <w:r>
        <w:rPr>
          <w:lang w:val="es-ES"/>
        </w:rPr>
        <w:t>, el contribuyente ya no podrá corregir la declaración pues el beneficio de auditoría opera de forma automática y el contribuyente no podrá alegar que “renuncia al beneficio de auditoría” para pensar en hacerle correcciones voluntarias después de dicho plazo.</w:t>
      </w:r>
    </w:p>
    <w:p w14:paraId="73014F1E" w14:textId="77777777" w:rsidR="00532423" w:rsidRPr="00532423" w:rsidRDefault="00532423" w:rsidP="00532423">
      <w:pPr>
        <w:rPr>
          <w:lang w:val="es-ES"/>
        </w:rPr>
      </w:pPr>
    </w:p>
    <w:p w14:paraId="107B6F66" w14:textId="1AC71C85" w:rsidR="00BB0FD2" w:rsidRDefault="009869D0" w:rsidP="00BB0FD2">
      <w:pPr>
        <w:pStyle w:val="Prrafodelista"/>
        <w:numPr>
          <w:ilvl w:val="0"/>
          <w:numId w:val="1"/>
        </w:numPr>
        <w:rPr>
          <w:lang w:val="es-ES"/>
        </w:rPr>
      </w:pPr>
      <w:r>
        <w:rPr>
          <w:lang w:val="es-ES"/>
        </w:rPr>
        <w:t>La declaració</w:t>
      </w:r>
      <w:r w:rsidR="00F438FF">
        <w:rPr>
          <w:lang w:val="es-ES"/>
        </w:rPr>
        <w:t>n de renta del</w:t>
      </w:r>
      <w:r w:rsidR="00A34605">
        <w:rPr>
          <w:lang w:val="es-ES"/>
        </w:rPr>
        <w:t xml:space="preserve"> año gravable 20</w:t>
      </w:r>
      <w:r w:rsidR="00E6318D">
        <w:rPr>
          <w:lang w:val="es-ES"/>
        </w:rPr>
        <w:t>25</w:t>
      </w:r>
      <w:r>
        <w:rPr>
          <w:lang w:val="es-ES"/>
        </w:rPr>
        <w:t xml:space="preserve"> </w:t>
      </w:r>
      <w:r w:rsidR="0007569E">
        <w:rPr>
          <w:lang w:val="es-ES"/>
        </w:rPr>
        <w:t xml:space="preserve">(o de su fracción) </w:t>
      </w:r>
      <w:r>
        <w:rPr>
          <w:lang w:val="es-ES"/>
        </w:rPr>
        <w:t>d</w:t>
      </w:r>
      <w:r w:rsidR="00BB0FD2" w:rsidRPr="00AB25E8">
        <w:rPr>
          <w:lang w:val="es-ES"/>
        </w:rPr>
        <w:t>eberá pres</w:t>
      </w:r>
      <w:r w:rsidR="00BB0FD2">
        <w:rPr>
          <w:lang w:val="es-ES"/>
        </w:rPr>
        <w:t>entarse en debida forma</w:t>
      </w:r>
      <w:r w:rsidR="00F060F1">
        <w:rPr>
          <w:lang w:val="es-ES"/>
        </w:rPr>
        <w:t xml:space="preserve"> (es decir, de forma virtual pues actualmente todos los declarantes deben presentar su declaración únicamente de esa forma (</w:t>
      </w:r>
      <w:r>
        <w:rPr>
          <w:lang w:val="es-ES"/>
        </w:rPr>
        <w:t xml:space="preserve">ver </w:t>
      </w:r>
      <w:hyperlink r:id="rId13" w:anchor="579-2" w:history="1">
        <w:r w:rsidRPr="009869D0">
          <w:rPr>
            <w:rStyle w:val="Hipervnculo"/>
            <w:lang w:val="es-ES"/>
          </w:rPr>
          <w:t>artículo 579-2 del ET</w:t>
        </w:r>
      </w:hyperlink>
      <w:r w:rsidR="00F060F1">
        <w:rPr>
          <w:lang w:val="es-ES"/>
        </w:rPr>
        <w:t xml:space="preserve"> y</w:t>
      </w:r>
      <w:r w:rsidR="00BB0FD2">
        <w:rPr>
          <w:lang w:val="es-ES"/>
        </w:rPr>
        <w:t xml:space="preserve"> la </w:t>
      </w:r>
      <w:hyperlink r:id="rId14" w:history="1">
        <w:r w:rsidR="00BB0FD2" w:rsidRPr="00AB25E8">
          <w:rPr>
            <w:rStyle w:val="Hipervnculo"/>
            <w:lang w:val="es-ES"/>
          </w:rPr>
          <w:t xml:space="preserve">Resolución 12761 de diciembre </w:t>
        </w:r>
        <w:r w:rsidR="00BB0FD2">
          <w:rPr>
            <w:rStyle w:val="Hipervnculo"/>
            <w:lang w:val="es-ES"/>
          </w:rPr>
          <w:t xml:space="preserve">9 </w:t>
        </w:r>
        <w:r w:rsidR="00BB0FD2" w:rsidRPr="00AB25E8">
          <w:rPr>
            <w:rStyle w:val="Hipervnculo"/>
            <w:lang w:val="es-ES"/>
          </w:rPr>
          <w:t>de 2011</w:t>
        </w:r>
      </w:hyperlink>
      <w:r w:rsidR="00F060F1">
        <w:rPr>
          <w:lang w:val="es-ES"/>
        </w:rPr>
        <w:t xml:space="preserve"> modificada con la </w:t>
      </w:r>
      <w:hyperlink r:id="rId15" w:anchor="1" w:history="1">
        <w:r w:rsidR="00F060F1" w:rsidRPr="00F060F1">
          <w:rPr>
            <w:rStyle w:val="Hipervnculo"/>
            <w:lang w:val="es-ES"/>
          </w:rPr>
          <w:t>Resolución 139 de septiembre 15 de 2023</w:t>
        </w:r>
      </w:hyperlink>
      <w:r w:rsidR="00BB0FD2">
        <w:rPr>
          <w:lang w:val="es-ES"/>
        </w:rPr>
        <w:t>).</w:t>
      </w:r>
    </w:p>
    <w:p w14:paraId="6A6D5419" w14:textId="77777777" w:rsidR="00BB0FD2" w:rsidRDefault="00BB0FD2" w:rsidP="00BB0FD2">
      <w:pPr>
        <w:pStyle w:val="Prrafodelista"/>
        <w:rPr>
          <w:lang w:val="es-ES"/>
        </w:rPr>
      </w:pPr>
    </w:p>
    <w:p w14:paraId="7F403E30" w14:textId="5A1BBC78" w:rsidR="00BB0FD2" w:rsidRDefault="009869D0" w:rsidP="00BB0FD2">
      <w:pPr>
        <w:pStyle w:val="Prrafodelista"/>
        <w:numPr>
          <w:ilvl w:val="0"/>
          <w:numId w:val="1"/>
        </w:numPr>
        <w:rPr>
          <w:lang w:val="es-ES"/>
        </w:rPr>
      </w:pPr>
      <w:r>
        <w:rPr>
          <w:lang w:val="es-ES"/>
        </w:rPr>
        <w:t>La d</w:t>
      </w:r>
      <w:r w:rsidR="00A34605">
        <w:rPr>
          <w:lang w:val="es-ES"/>
        </w:rPr>
        <w:t>eclaración del año gravable 202</w:t>
      </w:r>
      <w:r w:rsidR="00E6318D">
        <w:rPr>
          <w:lang w:val="es-ES"/>
        </w:rPr>
        <w:t>5</w:t>
      </w:r>
      <w:r>
        <w:rPr>
          <w:lang w:val="es-ES"/>
        </w:rPr>
        <w:t xml:space="preserve"> </w:t>
      </w:r>
      <w:r w:rsidR="0007569E">
        <w:rPr>
          <w:lang w:val="es-ES"/>
        </w:rPr>
        <w:t xml:space="preserve">(o de su fracción) </w:t>
      </w:r>
      <w:r>
        <w:rPr>
          <w:lang w:val="es-ES"/>
        </w:rPr>
        <w:t>n</w:t>
      </w:r>
      <w:r w:rsidR="00BB0FD2">
        <w:rPr>
          <w:lang w:val="es-ES"/>
        </w:rPr>
        <w:t>o deberá incluir retenciones falsas</w:t>
      </w:r>
      <w:r w:rsidR="00501578">
        <w:rPr>
          <w:lang w:val="es-ES"/>
        </w:rPr>
        <w:t xml:space="preserve">. Al respecto, recuérdese adicionalmente </w:t>
      </w:r>
      <w:hyperlink r:id="rId16" w:anchor="434-B" w:history="1">
        <w:r w:rsidR="00501578" w:rsidRPr="00E86338">
          <w:rPr>
            <w:rStyle w:val="Hipervnculo"/>
            <w:lang w:val="es-ES"/>
          </w:rPr>
          <w:t xml:space="preserve">la sanción penal que dicha </w:t>
        </w:r>
        <w:r w:rsidR="00E86338" w:rsidRPr="00E86338">
          <w:rPr>
            <w:rStyle w:val="Hipervnculo"/>
            <w:lang w:val="es-ES"/>
          </w:rPr>
          <w:t>situación puede generar de acuerdo con</w:t>
        </w:r>
        <w:r w:rsidR="00501578" w:rsidRPr="00E86338">
          <w:rPr>
            <w:rStyle w:val="Hipervnculo"/>
            <w:lang w:val="es-ES"/>
          </w:rPr>
          <w:t xml:space="preserve"> dispuesto en el artículo 434-B de la Ley 599 de 2000, el cual fue modificado co</w:t>
        </w:r>
        <w:r w:rsidR="00501578" w:rsidRPr="00E86338">
          <w:rPr>
            <w:rStyle w:val="Hipervnculo"/>
            <w:lang w:val="es-ES"/>
          </w:rPr>
          <w:t>n</w:t>
        </w:r>
        <w:r w:rsidR="00E86338" w:rsidRPr="00E86338">
          <w:rPr>
            <w:rStyle w:val="Hipervnculo"/>
            <w:lang w:val="es-ES"/>
          </w:rPr>
          <w:t xml:space="preserve"> el artículo 69 de la </w:t>
        </w:r>
        <w:proofErr w:type="spellStart"/>
        <w:r w:rsidR="00E86338" w:rsidRPr="00E86338">
          <w:rPr>
            <w:rStyle w:val="Hipervnculo"/>
            <w:lang w:val="es-ES"/>
          </w:rPr>
          <w:t>la</w:t>
        </w:r>
        <w:proofErr w:type="spellEnd"/>
        <w:r w:rsidR="00E86338" w:rsidRPr="00E86338">
          <w:rPr>
            <w:rStyle w:val="Hipervnculo"/>
            <w:lang w:val="es-ES"/>
          </w:rPr>
          <w:t xml:space="preserve"> Ley 2277 de diciembre de 2022</w:t>
        </w:r>
      </w:hyperlink>
      <w:r w:rsidR="00E86338">
        <w:rPr>
          <w:lang w:val="es-ES"/>
        </w:rPr>
        <w:t>.</w:t>
      </w:r>
    </w:p>
    <w:p w14:paraId="5E9EA1FC" w14:textId="77777777" w:rsidR="00BB0FD2" w:rsidRPr="00AB25E8" w:rsidRDefault="00BB0FD2" w:rsidP="00BB0FD2">
      <w:pPr>
        <w:rPr>
          <w:lang w:val="es-ES"/>
        </w:rPr>
      </w:pPr>
    </w:p>
    <w:p w14:paraId="4C708E9C" w14:textId="6E67A654" w:rsidR="00BB0FD2" w:rsidRDefault="00BB0FD2" w:rsidP="00BB0FD2">
      <w:pPr>
        <w:pStyle w:val="Prrafodelista"/>
        <w:numPr>
          <w:ilvl w:val="0"/>
          <w:numId w:val="1"/>
        </w:numPr>
        <w:rPr>
          <w:lang w:val="es-ES"/>
        </w:rPr>
      </w:pPr>
      <w:r>
        <w:rPr>
          <w:lang w:val="es-ES"/>
        </w:rPr>
        <w:t>En caso de que la d</w:t>
      </w:r>
      <w:r w:rsidR="009869D0">
        <w:rPr>
          <w:lang w:val="es-ES"/>
        </w:rPr>
        <w:t>eclaración del año</w:t>
      </w:r>
      <w:r w:rsidR="00A34605">
        <w:rPr>
          <w:lang w:val="es-ES"/>
        </w:rPr>
        <w:t xml:space="preserve"> gravable 202</w:t>
      </w:r>
      <w:r w:rsidR="0007569E">
        <w:rPr>
          <w:lang w:val="es-ES"/>
        </w:rPr>
        <w:t>5 (o de su fracción)</w:t>
      </w:r>
      <w:r>
        <w:rPr>
          <w:lang w:val="es-ES"/>
        </w:rPr>
        <w:t xml:space="preserve"> arroje saldo a pagar, el mismo se deberá pagar oportunamente.</w:t>
      </w:r>
    </w:p>
    <w:p w14:paraId="151BD084" w14:textId="77777777" w:rsidR="00BB0FD2" w:rsidRPr="00AB25E8" w:rsidRDefault="00BB0FD2" w:rsidP="00BB0FD2">
      <w:pPr>
        <w:rPr>
          <w:lang w:val="es-ES"/>
        </w:rPr>
      </w:pPr>
    </w:p>
    <w:p w14:paraId="01355848" w14:textId="49D0A24D" w:rsidR="00512C17" w:rsidRDefault="00BB0FD2" w:rsidP="00BB0FD2">
      <w:pPr>
        <w:rPr>
          <w:lang w:val="es-ES"/>
        </w:rPr>
      </w:pPr>
      <w:r w:rsidRPr="00AB25E8">
        <w:rPr>
          <w:lang w:val="es-ES"/>
        </w:rPr>
        <w:t xml:space="preserve">La norma indica </w:t>
      </w:r>
      <w:r>
        <w:rPr>
          <w:lang w:val="es-ES"/>
        </w:rPr>
        <w:t xml:space="preserve">además </w:t>
      </w:r>
      <w:r w:rsidRPr="00AB25E8">
        <w:rPr>
          <w:lang w:val="es-ES"/>
        </w:rPr>
        <w:t>que solo se otorga</w:t>
      </w:r>
      <w:r>
        <w:rPr>
          <w:lang w:val="es-ES"/>
        </w:rPr>
        <w:t>rá</w:t>
      </w:r>
      <w:r w:rsidRPr="00AB25E8">
        <w:rPr>
          <w:lang w:val="es-ES"/>
        </w:rPr>
        <w:t xml:space="preserve"> firmeza a la declaración de renta pero no a las de I</w:t>
      </w:r>
      <w:r>
        <w:rPr>
          <w:lang w:val="es-ES"/>
        </w:rPr>
        <w:t>VA</w:t>
      </w:r>
      <w:r w:rsidR="00373E57">
        <w:rPr>
          <w:lang w:val="es-ES"/>
        </w:rPr>
        <w:t xml:space="preserve"> y retención </w:t>
      </w:r>
      <w:r w:rsidR="00587329">
        <w:rPr>
          <w:lang w:val="es-ES"/>
        </w:rPr>
        <w:t>del mismo año gravable 202</w:t>
      </w:r>
      <w:r w:rsidR="0007569E">
        <w:rPr>
          <w:lang w:val="es-ES"/>
        </w:rPr>
        <w:t>5</w:t>
      </w:r>
      <w:r w:rsidR="00512C17">
        <w:rPr>
          <w:lang w:val="es-ES"/>
        </w:rPr>
        <w:t xml:space="preserve"> (y obviamente tampoco se extiende el beneficio a otras declaraciones similares como las del INC, o la del IBUA o las del ICUI)</w:t>
      </w:r>
      <w:r w:rsidRPr="00AB25E8">
        <w:rPr>
          <w:lang w:val="es-ES"/>
        </w:rPr>
        <w:t>.</w:t>
      </w:r>
    </w:p>
    <w:p w14:paraId="6CCAB160" w14:textId="77777777" w:rsidR="00512C17" w:rsidRDefault="00512C17" w:rsidP="00BB0FD2">
      <w:pPr>
        <w:rPr>
          <w:lang w:val="es-ES"/>
        </w:rPr>
      </w:pPr>
    </w:p>
    <w:p w14:paraId="21C20A81" w14:textId="37039DA5" w:rsidR="00587329" w:rsidRDefault="00BB0FD2" w:rsidP="00BB0FD2">
      <w:pPr>
        <w:rPr>
          <w:lang w:val="es-ES"/>
        </w:rPr>
      </w:pPr>
      <w:r w:rsidRPr="00AB25E8">
        <w:rPr>
          <w:lang w:val="es-ES"/>
        </w:rPr>
        <w:t xml:space="preserve">Además, si la declaración con beneficio de auditoría incluye una “pérdida líquida”, la DIAN sí podrá auditar solamente el monto de dicha pérdida aunque la declaración ya esté en firme (pues las pérdidas son compensables en ejercicios siguientes). </w:t>
      </w:r>
      <w:r w:rsidR="00587329">
        <w:rPr>
          <w:lang w:val="es-ES"/>
        </w:rPr>
        <w:t>Ese sería el caso por ejemplo de una declaración de renta de persona natural residente en la cual la cédula general le arroje una pérdida pero el impuesto neto de renta que le permite obtener el beneficio de auditoría lo calcula sobre su cédula de dividendos.</w:t>
      </w:r>
    </w:p>
    <w:p w14:paraId="73F86B9D" w14:textId="77777777" w:rsidR="00587329" w:rsidRDefault="00587329" w:rsidP="00BB0FD2">
      <w:pPr>
        <w:rPr>
          <w:lang w:val="es-ES"/>
        </w:rPr>
      </w:pPr>
    </w:p>
    <w:p w14:paraId="671B0342" w14:textId="40062776" w:rsidR="00BB0FD2" w:rsidRDefault="00E86338" w:rsidP="00BB0FD2">
      <w:pPr>
        <w:rPr>
          <w:rStyle w:val="Hipervnculo"/>
          <w:lang w:val="es-ES"/>
        </w:rPr>
      </w:pPr>
      <w:r>
        <w:rPr>
          <w:lang w:val="es-ES"/>
        </w:rPr>
        <w:t>Adicionalmente, se debe destacar que</w:t>
      </w:r>
      <w:r w:rsidR="00BB0FD2" w:rsidRPr="00AB25E8">
        <w:rPr>
          <w:lang w:val="es-ES"/>
        </w:rPr>
        <w:t xml:space="preserve"> si la declaración con beneficio de auditoria arroja “saldo a favor”, y se desea solicitarlo en devolución o compensación, </w:t>
      </w:r>
      <w:hyperlink r:id="rId17" w:history="1">
        <w:r w:rsidR="00BB0FD2" w:rsidRPr="009869D0">
          <w:rPr>
            <w:rStyle w:val="Hipervnculo"/>
            <w:lang w:val="es-ES"/>
          </w:rPr>
          <w:t xml:space="preserve">entonces la solicitud respectiva también se debe presentar dentro de esos mismos 6 o 12 </w:t>
        </w:r>
        <w:r w:rsidR="00BB0FD2" w:rsidRPr="009869D0">
          <w:rPr>
            <w:rStyle w:val="Hipervnculo"/>
            <w:lang w:val="es-ES"/>
          </w:rPr>
          <w:t>m</w:t>
        </w:r>
        <w:r w:rsidR="00BB0FD2" w:rsidRPr="009869D0">
          <w:rPr>
            <w:rStyle w:val="Hipervnculo"/>
            <w:lang w:val="es-ES"/>
          </w:rPr>
          <w:t>eses antes mencionados.</w:t>
        </w:r>
      </w:hyperlink>
    </w:p>
    <w:p w14:paraId="7ECB8949" w14:textId="5548C2E3" w:rsidR="00E86338" w:rsidRDefault="00E86338" w:rsidP="00BB0FD2">
      <w:pPr>
        <w:rPr>
          <w:rStyle w:val="Hipervnculo"/>
          <w:lang w:val="es-ES"/>
        </w:rPr>
      </w:pPr>
    </w:p>
    <w:p w14:paraId="5C6F9790" w14:textId="77777777" w:rsidR="00C00385" w:rsidRDefault="00C00385" w:rsidP="00BB0FD2">
      <w:pPr>
        <w:rPr>
          <w:lang w:val="es-ES"/>
        </w:rPr>
      </w:pPr>
    </w:p>
    <w:p w14:paraId="79CB63AB" w14:textId="77777777" w:rsidR="009869D0" w:rsidRDefault="009869D0" w:rsidP="00BB0FD2">
      <w:pPr>
        <w:pBdr>
          <w:bottom w:val="single" w:sz="12" w:space="1" w:color="auto"/>
        </w:pBdr>
        <w:rPr>
          <w:lang w:val="es-ES"/>
        </w:rPr>
      </w:pPr>
    </w:p>
    <w:p w14:paraId="58616BA4" w14:textId="77777777" w:rsidR="009869D0" w:rsidRDefault="009869D0" w:rsidP="00BB0FD2">
      <w:pPr>
        <w:rPr>
          <w:lang w:val="es-ES"/>
        </w:rPr>
      </w:pPr>
    </w:p>
    <w:p w14:paraId="3A97F133" w14:textId="618A2BE6" w:rsidR="009869D0" w:rsidRDefault="009869D0" w:rsidP="00BB0FD2"/>
    <w:p w14:paraId="763D09F1" w14:textId="62CFD379" w:rsidR="00E86338" w:rsidRDefault="00000000" w:rsidP="00E86338">
      <w:hyperlink r:id="rId18" w:history="1">
        <w:r w:rsidR="00E86338" w:rsidRPr="00E86338">
          <w:rPr>
            <w:rStyle w:val="Hipervnculo"/>
          </w:rPr>
          <w:t>Beneficio de audito</w:t>
        </w:r>
        <w:r w:rsidR="00E86338" w:rsidRPr="00E86338">
          <w:rPr>
            <w:rStyle w:val="Hipervnculo"/>
          </w:rPr>
          <w:t>r</w:t>
        </w:r>
        <w:r w:rsidR="00E86338" w:rsidRPr="00E86338">
          <w:rPr>
            <w:rStyle w:val="Hipervnculo"/>
          </w:rPr>
          <w:t>ía de los años gravables 2022 y 2023 fue prolongado hasta el año gravable 2026</w:t>
        </w:r>
      </w:hyperlink>
    </w:p>
    <w:p w14:paraId="2ADE7D72" w14:textId="77777777" w:rsidR="00E86338" w:rsidRDefault="00E86338" w:rsidP="00E86338"/>
    <w:p w14:paraId="54674A73" w14:textId="74941F75" w:rsidR="006F416E" w:rsidRPr="006F416E" w:rsidRDefault="006F416E" w:rsidP="006F416E">
      <w:pPr>
        <w:rPr>
          <w:rStyle w:val="Hipervnculo"/>
        </w:rPr>
      </w:pPr>
      <w:r>
        <w:fldChar w:fldCharType="begin"/>
      </w:r>
      <w:r>
        <w:instrText>HYPERLINK "https://actualicese.com/beneficio-de-auditoria-aplica-a-quienes-pasaron-del-regimen-simple-al-ordinario/"</w:instrText>
      </w:r>
      <w:r>
        <w:fldChar w:fldCharType="separate"/>
      </w:r>
      <w:r w:rsidRPr="006F416E">
        <w:rPr>
          <w:rStyle w:val="Hipervnculo"/>
        </w:rPr>
        <w:t>Beneficio de auditoría: ¿aplica a quien</w:t>
      </w:r>
      <w:r w:rsidRPr="006F416E">
        <w:rPr>
          <w:rStyle w:val="Hipervnculo"/>
        </w:rPr>
        <w:t>e</w:t>
      </w:r>
      <w:r w:rsidRPr="006F416E">
        <w:rPr>
          <w:rStyle w:val="Hipervnculo"/>
        </w:rPr>
        <w:t>s pasaron del régimen simple al ordinario?</w:t>
      </w:r>
    </w:p>
    <w:p w14:paraId="7719171B" w14:textId="77777777" w:rsidR="00512C17" w:rsidRPr="006F416E" w:rsidRDefault="00512C17" w:rsidP="006F416E">
      <w:pPr>
        <w:rPr>
          <w:rStyle w:val="Hipervnculo"/>
        </w:rPr>
      </w:pPr>
    </w:p>
    <w:p w14:paraId="1D85C452" w14:textId="04275C2A" w:rsidR="0063359E" w:rsidRDefault="006F416E" w:rsidP="006F416E">
      <w:r>
        <w:fldChar w:fldCharType="end"/>
      </w:r>
    </w:p>
    <w:p w14:paraId="2A5C8D56" w14:textId="77777777" w:rsidR="00237779" w:rsidRDefault="00237779" w:rsidP="00BB0FD2">
      <w:pPr>
        <w:rPr>
          <w:lang w:eastAsia="es-ES_tradnl"/>
        </w:rPr>
      </w:pPr>
    </w:p>
    <w:p w14:paraId="56F52F61" w14:textId="77777777" w:rsidR="009869D0" w:rsidRPr="009869D0" w:rsidRDefault="009869D0" w:rsidP="00BB0FD2"/>
    <w:p w14:paraId="2F98B599" w14:textId="77777777" w:rsidR="00BB0FD2" w:rsidRPr="00A45EEB" w:rsidRDefault="00BB0FD2">
      <w:pPr>
        <w:rPr>
          <w:lang w:val="es-ES"/>
        </w:rPr>
      </w:pPr>
    </w:p>
    <w:sectPr w:rsidR="00BB0FD2" w:rsidRPr="00A45EEB" w:rsidSect="001900D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4F3FF4"/>
    <w:multiLevelType w:val="hybridMultilevel"/>
    <w:tmpl w:val="50AE7424"/>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2098020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EB"/>
    <w:rsid w:val="00073EC4"/>
    <w:rsid w:val="0007569E"/>
    <w:rsid w:val="000F3581"/>
    <w:rsid w:val="000F3DB6"/>
    <w:rsid w:val="001150CF"/>
    <w:rsid w:val="00122413"/>
    <w:rsid w:val="00144D37"/>
    <w:rsid w:val="0018559E"/>
    <w:rsid w:val="00186145"/>
    <w:rsid w:val="001900DC"/>
    <w:rsid w:val="001E056A"/>
    <w:rsid w:val="001E1D69"/>
    <w:rsid w:val="0020111D"/>
    <w:rsid w:val="00237779"/>
    <w:rsid w:val="002744C8"/>
    <w:rsid w:val="002968AA"/>
    <w:rsid w:val="002C43CE"/>
    <w:rsid w:val="002C4709"/>
    <w:rsid w:val="002E21FF"/>
    <w:rsid w:val="002F5EB3"/>
    <w:rsid w:val="003103F2"/>
    <w:rsid w:val="00360D48"/>
    <w:rsid w:val="00373E57"/>
    <w:rsid w:val="003A0122"/>
    <w:rsid w:val="004E0A02"/>
    <w:rsid w:val="004F6236"/>
    <w:rsid w:val="00501578"/>
    <w:rsid w:val="00512C17"/>
    <w:rsid w:val="00526E12"/>
    <w:rsid w:val="00532423"/>
    <w:rsid w:val="00587329"/>
    <w:rsid w:val="005C4DF0"/>
    <w:rsid w:val="0063359E"/>
    <w:rsid w:val="00643277"/>
    <w:rsid w:val="006637CF"/>
    <w:rsid w:val="00664D6A"/>
    <w:rsid w:val="006B41CC"/>
    <w:rsid w:val="006C7210"/>
    <w:rsid w:val="006F023E"/>
    <w:rsid w:val="006F3469"/>
    <w:rsid w:val="006F416E"/>
    <w:rsid w:val="007272E4"/>
    <w:rsid w:val="00730963"/>
    <w:rsid w:val="007353B0"/>
    <w:rsid w:val="00770854"/>
    <w:rsid w:val="007819A5"/>
    <w:rsid w:val="007F7530"/>
    <w:rsid w:val="00820BC9"/>
    <w:rsid w:val="00860379"/>
    <w:rsid w:val="0089722F"/>
    <w:rsid w:val="008E12B4"/>
    <w:rsid w:val="00903D0E"/>
    <w:rsid w:val="009239EF"/>
    <w:rsid w:val="009869D0"/>
    <w:rsid w:val="00A20E08"/>
    <w:rsid w:val="00A34605"/>
    <w:rsid w:val="00A40970"/>
    <w:rsid w:val="00A43506"/>
    <w:rsid w:val="00A45EEB"/>
    <w:rsid w:val="00A55425"/>
    <w:rsid w:val="00AA2198"/>
    <w:rsid w:val="00AE32FD"/>
    <w:rsid w:val="00B3072B"/>
    <w:rsid w:val="00B31677"/>
    <w:rsid w:val="00B6727C"/>
    <w:rsid w:val="00B73FF2"/>
    <w:rsid w:val="00B9514F"/>
    <w:rsid w:val="00BB0FD2"/>
    <w:rsid w:val="00BC4A5E"/>
    <w:rsid w:val="00BE4F86"/>
    <w:rsid w:val="00C00385"/>
    <w:rsid w:val="00CA0944"/>
    <w:rsid w:val="00CD1D53"/>
    <w:rsid w:val="00CE6550"/>
    <w:rsid w:val="00CF3485"/>
    <w:rsid w:val="00D65C4F"/>
    <w:rsid w:val="00DC4F7E"/>
    <w:rsid w:val="00E22D57"/>
    <w:rsid w:val="00E6318D"/>
    <w:rsid w:val="00E86338"/>
    <w:rsid w:val="00EC6A5F"/>
    <w:rsid w:val="00F015EC"/>
    <w:rsid w:val="00F060F1"/>
    <w:rsid w:val="00F06882"/>
    <w:rsid w:val="00F438FF"/>
    <w:rsid w:val="00F516E8"/>
    <w:rsid w:val="00F95ECE"/>
    <w:rsid w:val="00FC7195"/>
    <w:rsid w:val="00FF7092"/>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9841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9869D0"/>
    <w:pPr>
      <w:spacing w:before="100" w:beforeAutospacing="1" w:after="100" w:afterAutospacing="1"/>
      <w:outlineLvl w:val="0"/>
    </w:pPr>
    <w:rPr>
      <w:rFonts w:ascii="Times New Roman" w:hAnsi="Times New Roman" w:cs="Times New Roman"/>
      <w:b/>
      <w:bCs/>
      <w:kern w:val="36"/>
      <w:sz w:val="48"/>
      <w:szCs w:val="48"/>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A43506"/>
    <w:rPr>
      <w:color w:val="0563C1" w:themeColor="hyperlink"/>
      <w:u w:val="single"/>
    </w:rPr>
  </w:style>
  <w:style w:type="paragraph" w:styleId="Prrafodelista">
    <w:name w:val="List Paragraph"/>
    <w:basedOn w:val="Normal"/>
    <w:uiPriority w:val="34"/>
    <w:qFormat/>
    <w:rsid w:val="00BB0FD2"/>
    <w:pPr>
      <w:ind w:left="720"/>
      <w:contextualSpacing/>
    </w:pPr>
  </w:style>
  <w:style w:type="character" w:styleId="Hipervnculovisitado">
    <w:name w:val="FollowedHyperlink"/>
    <w:basedOn w:val="Fuentedeprrafopredeter"/>
    <w:uiPriority w:val="99"/>
    <w:semiHidden/>
    <w:unhideWhenUsed/>
    <w:rsid w:val="009869D0"/>
    <w:rPr>
      <w:color w:val="954F72" w:themeColor="followedHyperlink"/>
      <w:u w:val="single"/>
    </w:rPr>
  </w:style>
  <w:style w:type="character" w:customStyle="1" w:styleId="Ttulo1Car">
    <w:name w:val="Título 1 Car"/>
    <w:basedOn w:val="Fuentedeprrafopredeter"/>
    <w:link w:val="Ttulo1"/>
    <w:uiPriority w:val="9"/>
    <w:rsid w:val="009869D0"/>
    <w:rPr>
      <w:rFonts w:ascii="Times New Roman" w:hAnsi="Times New Roman" w:cs="Times New Roman"/>
      <w:b/>
      <w:bCs/>
      <w:kern w:val="36"/>
      <w:sz w:val="48"/>
      <w:szCs w:val="48"/>
      <w:lang w:eastAsia="es-ES_tradnl"/>
    </w:rPr>
  </w:style>
  <w:style w:type="character" w:styleId="Mencinsinresolver">
    <w:name w:val="Unresolved Mention"/>
    <w:basedOn w:val="Fuentedeprrafopredeter"/>
    <w:uiPriority w:val="99"/>
    <w:rsid w:val="00501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902631">
      <w:bodyDiv w:val="1"/>
      <w:marLeft w:val="0"/>
      <w:marRight w:val="0"/>
      <w:marTop w:val="0"/>
      <w:marBottom w:val="0"/>
      <w:divBdr>
        <w:top w:val="none" w:sz="0" w:space="0" w:color="auto"/>
        <w:left w:val="none" w:sz="0" w:space="0" w:color="auto"/>
        <w:bottom w:val="none" w:sz="0" w:space="0" w:color="auto"/>
        <w:right w:val="none" w:sz="0" w:space="0" w:color="auto"/>
      </w:divBdr>
    </w:div>
    <w:div w:id="621806354">
      <w:bodyDiv w:val="1"/>
      <w:marLeft w:val="0"/>
      <w:marRight w:val="0"/>
      <w:marTop w:val="0"/>
      <w:marBottom w:val="0"/>
      <w:divBdr>
        <w:top w:val="none" w:sz="0" w:space="0" w:color="auto"/>
        <w:left w:val="none" w:sz="0" w:space="0" w:color="auto"/>
        <w:bottom w:val="none" w:sz="0" w:space="0" w:color="auto"/>
        <w:right w:val="none" w:sz="0" w:space="0" w:color="auto"/>
      </w:divBdr>
    </w:div>
    <w:div w:id="707293189">
      <w:bodyDiv w:val="1"/>
      <w:marLeft w:val="0"/>
      <w:marRight w:val="0"/>
      <w:marTop w:val="0"/>
      <w:marBottom w:val="0"/>
      <w:divBdr>
        <w:top w:val="none" w:sz="0" w:space="0" w:color="auto"/>
        <w:left w:val="none" w:sz="0" w:space="0" w:color="auto"/>
        <w:bottom w:val="none" w:sz="0" w:space="0" w:color="auto"/>
        <w:right w:val="none" w:sz="0" w:space="0" w:color="auto"/>
      </w:divBdr>
    </w:div>
    <w:div w:id="862519808">
      <w:bodyDiv w:val="1"/>
      <w:marLeft w:val="0"/>
      <w:marRight w:val="0"/>
      <w:marTop w:val="0"/>
      <w:marBottom w:val="0"/>
      <w:divBdr>
        <w:top w:val="none" w:sz="0" w:space="0" w:color="auto"/>
        <w:left w:val="none" w:sz="0" w:space="0" w:color="auto"/>
        <w:bottom w:val="none" w:sz="0" w:space="0" w:color="auto"/>
        <w:right w:val="none" w:sz="0" w:space="0" w:color="auto"/>
      </w:divBdr>
    </w:div>
    <w:div w:id="921527019">
      <w:bodyDiv w:val="1"/>
      <w:marLeft w:val="0"/>
      <w:marRight w:val="0"/>
      <w:marTop w:val="0"/>
      <w:marBottom w:val="0"/>
      <w:divBdr>
        <w:top w:val="none" w:sz="0" w:space="0" w:color="auto"/>
        <w:left w:val="none" w:sz="0" w:space="0" w:color="auto"/>
        <w:bottom w:val="none" w:sz="0" w:space="0" w:color="auto"/>
        <w:right w:val="none" w:sz="0" w:space="0" w:color="auto"/>
      </w:divBdr>
    </w:div>
    <w:div w:id="975570394">
      <w:bodyDiv w:val="1"/>
      <w:marLeft w:val="0"/>
      <w:marRight w:val="0"/>
      <w:marTop w:val="0"/>
      <w:marBottom w:val="0"/>
      <w:divBdr>
        <w:top w:val="none" w:sz="0" w:space="0" w:color="auto"/>
        <w:left w:val="none" w:sz="0" w:space="0" w:color="auto"/>
        <w:bottom w:val="none" w:sz="0" w:space="0" w:color="auto"/>
        <w:right w:val="none" w:sz="0" w:space="0" w:color="auto"/>
      </w:divBdr>
    </w:div>
    <w:div w:id="20662483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an.gov.co/atencionciudadano/formulariosinstructivos/Formularios/2023/Formulario_110_2023.pdf" TargetMode="External"/><Relationship Id="rId13" Type="http://schemas.openxmlformats.org/officeDocument/2006/relationships/hyperlink" Target="https://normograma.dian.gov.co/dian/compilacion/docs/estatuto_tributario.htm" TargetMode="External"/><Relationship Id="rId18" Type="http://schemas.openxmlformats.org/officeDocument/2006/relationships/hyperlink" Target="https://actualicese.com/beneficio-de-auditoria-de-los-anos-gravables-2022-y-2023-fue-prolongado-hasta-el-ano-gravable-2026/" TargetMode="External"/><Relationship Id="rId3" Type="http://schemas.openxmlformats.org/officeDocument/2006/relationships/settings" Target="settings.xml"/><Relationship Id="rId7" Type="http://schemas.openxmlformats.org/officeDocument/2006/relationships/hyperlink" Target="https://actualicese.com/codigos-especiales-en-el-rut-para-sociedades-con-beneficios-por-zomac-zese-o-regimen-chc/" TargetMode="External"/><Relationship Id="rId12" Type="http://schemas.openxmlformats.org/officeDocument/2006/relationships/hyperlink" Target="https://www.dian.gov.co/atencionciudadano/formulariosinstructivos/Formularios/2023/Formulario_110_2023.pdf" TargetMode="External"/><Relationship Id="rId17" Type="http://schemas.openxmlformats.org/officeDocument/2006/relationships/hyperlink" Target="https://actualicese.com/solicitud-de-saldos-a-favor-en-declaraciones-de-renta-ano-gravable-2019-con-beneficio-de-auditoria/" TargetMode="External"/><Relationship Id="rId2" Type="http://schemas.openxmlformats.org/officeDocument/2006/relationships/styles" Target="styles.xml"/><Relationship Id="rId16" Type="http://schemas.openxmlformats.org/officeDocument/2006/relationships/hyperlink" Target="http://www.secretariasenado.gov.co/senado/basedoc/ley_0599_2000_pr017.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ctualicese.com/beneficio-de-auditoria-de-los-anos-gravables-2022-y-2023-fue-prolongado-hasta-el-ano-gravable-2026/" TargetMode="External"/><Relationship Id="rId11" Type="http://schemas.openxmlformats.org/officeDocument/2006/relationships/hyperlink" Target="https://actualicese.com/formulario-110-ag-2022-y-fraccion-de-ano-2023-problemas-que-genera-la-reubicacion-de-la-sobretasa/" TargetMode="External"/><Relationship Id="rId5" Type="http://schemas.openxmlformats.org/officeDocument/2006/relationships/hyperlink" Target="https://normograma.dian.gov.co/dian/compilacion/docs/estatuto_tributario.htm" TargetMode="External"/><Relationship Id="rId15" Type="http://schemas.openxmlformats.org/officeDocument/2006/relationships/hyperlink" Target="https://normograma.dian.gov.co/dian/compilacion/docs/resolucion_dian_0139_2023.htm" TargetMode="External"/><Relationship Id="rId10" Type="http://schemas.openxmlformats.org/officeDocument/2006/relationships/hyperlink" Target="https://actualicese.com/formulario-110-ag-2022-y-fraccion-de-ano-2023-problemas-que-genera-la-reubicacion-de-la-sobretas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ian.gov.co/atencionciudadano/formulariosinstructivos/Formularios/2024/Formulario_210_2024.pdf" TargetMode="External"/><Relationship Id="rId14" Type="http://schemas.openxmlformats.org/officeDocument/2006/relationships/hyperlink" Target="https://normograma.dian.gov.co/dian/compilacion/docs/resolucion_dian_12761_2011.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1280</Words>
  <Characters>7043</Characters>
  <Application>Microsoft Office Word</Application>
  <DocSecurity>0</DocSecurity>
  <Lines>58</Lines>
  <Paragraphs>16</Paragraphs>
  <ScaleCrop>false</ScaleCrop>
  <HeadingPairs>
    <vt:vector size="4" baseType="variant">
      <vt:variant>
        <vt:lpstr>Título</vt:lpstr>
      </vt:variant>
      <vt:variant>
        <vt:i4>1</vt:i4>
      </vt:variant>
      <vt:variant>
        <vt:lpstr>Headings</vt:lpstr>
      </vt:variant>
      <vt:variant>
        <vt:i4>1</vt:i4>
      </vt:variant>
    </vt:vector>
  </HeadingPairs>
  <TitlesOfParts>
    <vt:vector size="2" baseType="lpstr">
      <vt:lpstr/>
      <vt:lpstr>/Beneficio de auditoría para el cierre del año gravable 2022</vt:lpstr>
    </vt:vector>
  </TitlesOfParts>
  <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diego guevara</cp:lastModifiedBy>
  <cp:revision>8</cp:revision>
  <dcterms:created xsi:type="dcterms:W3CDTF">2025-07-21T10:14:00Z</dcterms:created>
  <dcterms:modified xsi:type="dcterms:W3CDTF">2025-07-21T11:49:00Z</dcterms:modified>
</cp:coreProperties>
</file>